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3A" w:rsidRDefault="00C92D3A"/>
    <w:p w:rsidR="00C92D3A" w:rsidRDefault="00C92D3A"/>
    <w:p w:rsidR="00EB4946" w:rsidRDefault="00FE6CB8" w:rsidP="00FE6CB8">
      <w:pPr>
        <w:tabs>
          <w:tab w:val="left" w:pos="1980"/>
        </w:tabs>
        <w:spacing w:line="256" w:lineRule="auto"/>
        <w:rPr>
          <w:rFonts w:ascii="Arial" w:eastAsia="Gulim" w:hAnsi="Arial" w:cs="Arial"/>
          <w:color w:val="000000" w:themeColor="text1"/>
          <w:sz w:val="14"/>
          <w:szCs w:val="14"/>
          <w:lang w:eastAsia="es-MX"/>
        </w:rPr>
      </w:pPr>
      <w:r>
        <w:rPr>
          <w:rFonts w:ascii="Arial" w:eastAsia="Gulim" w:hAnsi="Arial" w:cs="Arial"/>
          <w:color w:val="000000" w:themeColor="text1"/>
          <w:sz w:val="14"/>
          <w:szCs w:val="14"/>
          <w:lang w:eastAsia="es-MX"/>
        </w:rPr>
        <w:tab/>
      </w:r>
    </w:p>
    <w:p w:rsidR="00EB4946" w:rsidRPr="004F67AF" w:rsidRDefault="00EB4946" w:rsidP="00FE6CB8">
      <w:pPr>
        <w:spacing w:line="256" w:lineRule="auto"/>
        <w:jc w:val="center"/>
        <w:rPr>
          <w:rFonts w:ascii="Arial" w:eastAsia="Gulim" w:hAnsi="Arial" w:cs="Arial"/>
          <w:b/>
          <w:color w:val="000000" w:themeColor="text1"/>
        </w:rPr>
      </w:pPr>
      <w:r>
        <w:rPr>
          <w:rFonts w:ascii="Arial" w:eastAsia="Gulim" w:hAnsi="Arial" w:cs="Arial"/>
          <w:b/>
          <w:color w:val="000000" w:themeColor="text1"/>
          <w:szCs w:val="24"/>
          <w:lang w:eastAsia="es-MX"/>
        </w:rPr>
        <w:t xml:space="preserve"> </w:t>
      </w:r>
    </w:p>
    <w:p w:rsidR="00EB4946" w:rsidRDefault="00EB4946" w:rsidP="004F67AF">
      <w:pPr>
        <w:pStyle w:val="Prrafodelista"/>
        <w:tabs>
          <w:tab w:val="left" w:pos="3195"/>
          <w:tab w:val="center" w:pos="4419"/>
        </w:tabs>
        <w:spacing w:line="256" w:lineRule="auto"/>
        <w:ind w:left="360"/>
        <w:jc w:val="both"/>
        <w:rPr>
          <w:rFonts w:ascii="Arial" w:eastAsia="Gulim" w:hAnsi="Arial" w:cs="Arial"/>
          <w:color w:val="000000" w:themeColor="text1"/>
        </w:rPr>
      </w:pPr>
    </w:p>
    <w:p w:rsidR="00EB4946" w:rsidRDefault="00EB4946" w:rsidP="00FE6CB8">
      <w:pPr>
        <w:pStyle w:val="Prrafodelista"/>
        <w:tabs>
          <w:tab w:val="left" w:pos="3195"/>
          <w:tab w:val="center" w:pos="4419"/>
        </w:tabs>
        <w:spacing w:line="256" w:lineRule="auto"/>
        <w:ind w:left="360"/>
        <w:jc w:val="both"/>
        <w:rPr>
          <w:rFonts w:ascii="Arial" w:eastAsia="Gulim" w:hAnsi="Arial" w:cs="Arial"/>
          <w:color w:val="000000" w:themeColor="text1"/>
        </w:rPr>
      </w:pPr>
      <w:r>
        <w:rPr>
          <w:rFonts w:ascii="Arial" w:eastAsia="Gulim" w:hAnsi="Arial" w:cs="Arial"/>
          <w:color w:val="000000" w:themeColor="text1"/>
        </w:rPr>
        <w:t>El 31 de diciembre de 2008 fue expedida la Ley de Cultura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Física, Deporte y Recreación para el Estado de Hidalgo, en la cual se aprecia: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4.- Son sujetos de esta Ley, las y los deportistas, jueces, árbitros,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Preparadores físicos, asociaciones y los organismos deportivos de los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Sectores público, social y privado del Estado de Hidalgo y demás personas que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Por su naturaleza o función sean susceptibles de integrarse al Sistema Estatal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Cultura Física, Deporte y Recreación.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6.- Para efectos de la presente Ley, se entenderá por: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V.- COMUDE.- Los Consejos Municipales del Deporte de los 84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Ayuntamientos, estarán integrados por un cuerpo colegiado con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Conocimientos en la materia, encargados de organizar, operar y vigilar el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Cumplimiento de objetivos específicos, el cual se integra y ejerce facultades y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Atribuciones conforme a la Ley y su Reglamento;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TÍTULO SEGUNDO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AUTORIDADES DEPORTIVAS.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CAPÍTULO I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LAS AUTORIDADES DEPORTIVAS Y SUS FACULTADES.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7.- La aplicación de la presente Ley corresponde a las autoridades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Siguientes, de acuerdo con sus respectivas competencias: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I.- El Titular del Poder Ejecutivo, a través del Instituto Hidalguense del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Deporte, como organismo rector del deporte;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II.- El Titular de la Secretaría de Educación Pública en Hidalgo, como cabeza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sector;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III.- El Titular del Instituto Hidalguense del Deporte;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IV.- El Titular de la Secretaría de Salud de Hidalgo;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V.- Los Titulares de los Ayuntamientos de los 84 Municipios del Estado;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VI.- Las asociaciones deportivas;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VII.- La Comisión de Arbitraje</w:t>
      </w:r>
    </w:p>
    <w:p w:rsidR="004F67AF" w:rsidRDefault="004F67AF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8.- En los Ayuntamientos, las autoridades encargadas de la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Aplicación de este ordenamiento son: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I.- El Presidente Municipal; y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II.- Los Consejos Municipales del Deporte.</w:t>
      </w: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proofErr w:type="gramStart"/>
      <w:r>
        <w:rPr>
          <w:rFonts w:ascii="Arial" w:eastAsia="Gulim" w:hAnsi="Arial" w:cs="Arial"/>
          <w:color w:val="000000" w:themeColor="text1"/>
          <w:szCs w:val="24"/>
          <w:lang w:eastAsia="es-MX"/>
        </w:rPr>
        <w:t>z</w:t>
      </w:r>
      <w:proofErr w:type="gramEnd"/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TÍTULO CUARTO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DEL SISTEMA ESTATAL DE CULTURA FÍSICA,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DEPORTE Y RECREACIÓN.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CAPÍTULO I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DEL SISTEMA ESTATAL.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19.- Para el logro de los objetivos de la presente Ley, se establece el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Sistema Estatal de Cultura Física, Deporte y Recreación, así como las bases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Para su funcionamiento, y será el instrumento rector de la política deportiva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Hidalgo.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SECCIÓN ÚNICA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LA INTEGRACIÓN Y ORGANIZACIÓN DEL SISTEMA ESTATAL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CULTURA FÍSICA, DEPORTE Y RECREACIÓN.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I.- Al Instituto Hidalguense del Deporte;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II.- A los Consejos Municipales del Deporte;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III.- A los organismos deportivos con registro tales como: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IV.- Las y a los especialistas en materia deportiva;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V.- Las y los deportistas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VI.- Las y a los preparadores físicos;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VII.- Las y a los entrenadores deportivos;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VIII.- Las y a los árbitros;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IX.- Las personas que por su naturaleza y función sean susceptibles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Integrarse al Sistema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Estatal del Deporte del Estado de Hidalgo;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X.- Las y a los habitantes del Estado de Hidalgo; y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XI.- Los planes, programas, procedimientos y acciones;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CAPÍTULO II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LA PARTICIPACIÓN DEL ESTADO Y LOS MUNICIPIOS.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32.- La participación en el Sistema Estatal de Cultura Física,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Deporte y Recreación, es obligatoria para todas las Dependencias y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Entidades de la Administración Pública del Estado, los Ayuntamientos, las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Instituciones públicas y privadas, así como los sectores social y privado, en los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Términos previstos por esta Ley y en su Reglamento.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33.- Las dependencias y entidades de la Administración Pública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Estatal y los ayuntamientos debidamente adheridos al Sistema Estatal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Cultura Física, Deporte y Recreación, destinarán recursos presupuestarios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Suficientes para apoyar la ejecución del Programa Estatal de Cultura Física,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Deporte y Recreación, así como para la construcción, mantenimiento y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Conservación de instalaciones deportivas, encargándose de la evaluación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Los deportistas, sin que su origen social y étnico los limite a participar en las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Diferentes disciplinas.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34.- Los Municipios de la Entidad ejercerán la debida concurrencia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Con el Estado en caminada a la elaboración, ejecución y operación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Programas, obras, servicios y acciones de acuerdo con sus capacidades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Técnicas, administrativas y financieras para que en materia de deporte se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Celebren Convenios de Coordinación, en términos de la normatividad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lastRenderedPageBreak/>
        <w:t>Aplicable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Al efecto se observará el contenido del Capítulo Cuarto, Título Tercero de la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Ley Orgánica Municipal.</w:t>
      </w: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SECCIÓN II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LA PARTICIPACIÓN Y ATRIBUCIONES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 LOS MUNICIPIOS.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37.- Las Autoridades Municipales, administrarán con transparencia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Y legalidad de manera directa las instalaciones deportivas Municipales, con el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Objeto de facilitar el acceso y uso de las mismas a las ligas, clubes, equipos y 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Las y los deportistas inscritos en el Registro Municipal correspondiente.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Los ayuntamientos podrán expedir sus respectivos Reglamentos, sin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Contravenirlas disposiciones de esta Ley y su Reglamento.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38. - El Municipio como célula básica de la Nación, deberá recibir el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Apoyo de las Entidades públicas y privadas para cumplir con su cometido en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Materia deportiva, haciéndose responsable del deporte popular y de las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Instalaciones deportivas.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39.- Los Municipios debidamente integrados al Sistema Estatal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Cultura Física, Deporte y Recreación, promoverán la realización de los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Siguientes objetivos: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I.- Determinar las necesidades en materia deportiva y crear los medios para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Satisfacerlas;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II.- Fomentar el deporte en cada una de sus comunidades, en sus diferentes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Centros educativos;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III.- Otorgar los estímulos y apoyos para el desarrollo y fomento del deporte;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IV.- Promover la creación y apoyar a los organismos locales que desarrollen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Actividades deportivas y que estén incorporadas al Sistema Estatal de Cultura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Física, Deporte y Recreación;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V.- Prever que las personas con discapacidad, de la tercera edad y demás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Grupos especiales, tengan las facilidades e instalaciones deportivas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Adecuadas para su libre acceso y desarrollo;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VI.- Organizar y coordinar las actividades deportivas en colonias, barrios,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Zonas y centros de población a través de las asociaciones y junta de vecinos,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Con el fin de fomentar y desarrollar el deporte, implementando por lo menos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Una unidad deportiva en la cabecera Municipal, para fomentar la convivencia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Familiar;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VII.- Asignar los recursos necesarios para el logro de los fines anteriormente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Señalados, de conformidad con el Artículo 34 de esta Ley;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VIII.- Vigilar el cumplimiento de las normas de seguridad establecidas por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Esta Ley y su Reglamento para las personas que presten servicio de guía 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Instrucción en deportes de alto riesgo; y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IX.- Las demás que le otorguen otras Leyes y disposiciones jurídicas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Aplicables.</w:t>
      </w: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FE6CB8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40.- Las Autoridades Municipales, por conducto del organismo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Competente, deberán facilitar el uso de las instalaciones deportivas, en su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Ámbito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territorial y garantizar la plena utilización de las mismas, para tal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Efecto, participarán en los términos de la presente Ley, en las tareas relativas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Al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inventario e inscripción en el Registro Estatal de Cultura Física y Deporte.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El Organismo a que se refiere el párrafo anterior, podrá ser un Organismo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Público Descentralizado del Gobierno Municipal, que actúe bajo la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Denominación y forma de Instituto, en concordancia con las disposiciones de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La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presente Ley y de aquellos ordenamientos legales que resulten aplicables.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41.- Corresponde a los 84 Ayuntamientos de la Entidad, a través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Del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Instituto Hidalguense del Deporte, coordinar, organizar, desarrollar y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Fomentar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al deporte en el ámbito de sus circunscripciones territoriales.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42.- Los Municipios integrados en el Sistema Estatal de Cultura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Física, Deporte y Recreación formularán los proyectos y programas de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Fomento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deportivo con objetivos a mediano y largo plazo que sean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Pertinentes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>. Al efecto, destinarán partidas presupuestales suficientes o que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Resulten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autofinanciables para cumplir sus metas y objetivos.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43.- Los ayuntamientos, mediante la celebración de Convenios de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Coordinación podrán participar al Sistema Estatal de Cultura Física, Deporte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Y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Recreación.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Artículo 44.- Los Municipios participantes en el Sistema Estatal de Cultura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Física, Deporte y Recreación, promoverán la participación de las y de los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Vecinos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>, con el fin de que se inscriban a su respectivo Consejo Directivo del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Sistema Municipal de Cultura Física, Deporte y Recreación, involucrándolos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r>
        <w:rPr>
          <w:rFonts w:ascii="Arial" w:eastAsia="Gulim" w:hAnsi="Arial" w:cs="Arial"/>
          <w:color w:val="000000" w:themeColor="text1"/>
          <w:szCs w:val="24"/>
          <w:lang w:eastAsia="es-MX"/>
        </w:rPr>
        <w:t>En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los términos de esta Ley, en el diseño, ejecución y evaluación de los</w:t>
      </w:r>
    </w:p>
    <w:p w:rsidR="00EB4946" w:rsidRDefault="00FE6CB8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color w:val="000000" w:themeColor="text1"/>
          <w:szCs w:val="24"/>
          <w:lang w:eastAsia="es-MX"/>
        </w:rPr>
      </w:pPr>
      <w:bookmarkStart w:id="0" w:name="_GoBack"/>
      <w:bookmarkEnd w:id="0"/>
      <w:r>
        <w:rPr>
          <w:rFonts w:ascii="Arial" w:eastAsia="Gulim" w:hAnsi="Arial" w:cs="Arial"/>
          <w:color w:val="000000" w:themeColor="text1"/>
          <w:szCs w:val="24"/>
          <w:lang w:eastAsia="es-MX"/>
        </w:rPr>
        <w:t>Programas</w:t>
      </w:r>
      <w:r w:rsidR="00EB4946">
        <w:rPr>
          <w:rFonts w:ascii="Arial" w:eastAsia="Gulim" w:hAnsi="Arial" w:cs="Arial"/>
          <w:color w:val="000000" w:themeColor="text1"/>
          <w:szCs w:val="24"/>
          <w:lang w:eastAsia="es-MX"/>
        </w:rPr>
        <w:t xml:space="preserve"> Municipales del deporte.</w:t>
      </w:r>
    </w:p>
    <w:p w:rsidR="00EB4946" w:rsidRDefault="00EB4946" w:rsidP="00FE6CB8">
      <w:pPr>
        <w:tabs>
          <w:tab w:val="left" w:pos="3195"/>
          <w:tab w:val="center" w:pos="4419"/>
        </w:tabs>
        <w:spacing w:line="256" w:lineRule="auto"/>
        <w:jc w:val="both"/>
        <w:rPr>
          <w:rFonts w:ascii="Arial" w:eastAsia="Gulim" w:hAnsi="Arial" w:cs="Arial"/>
          <w:b/>
          <w:color w:val="000000" w:themeColor="text1"/>
          <w:szCs w:val="24"/>
          <w:lang w:eastAsia="es-MX"/>
        </w:rPr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FE6CB8">
      <w:pPr>
        <w:jc w:val="both"/>
      </w:pPr>
    </w:p>
    <w:p w:rsidR="00C92D3A" w:rsidRDefault="00C92D3A" w:rsidP="004F67AF">
      <w:pPr>
        <w:jc w:val="both"/>
      </w:pPr>
    </w:p>
    <w:p w:rsidR="00C92D3A" w:rsidRDefault="00C92D3A" w:rsidP="004F67AF">
      <w:pPr>
        <w:jc w:val="both"/>
      </w:pPr>
    </w:p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p w:rsidR="00C92D3A" w:rsidRDefault="00C92D3A"/>
    <w:sectPr w:rsidR="00C92D3A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2B" w:rsidRDefault="00F83A2B">
      <w:r>
        <w:separator/>
      </w:r>
    </w:p>
  </w:endnote>
  <w:endnote w:type="continuationSeparator" w:id="0">
    <w:p w:rsidR="00F83A2B" w:rsidRDefault="00F8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D3A" w:rsidRDefault="00D231B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-1666875</wp:posOffset>
          </wp:positionV>
          <wp:extent cx="1421130" cy="1421130"/>
          <wp:effectExtent l="0" t="0" r="0" b="0"/>
          <wp:wrapSquare wrapText="bothSides"/>
          <wp:docPr id="3" name="Imagen 3" descr="gli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glif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7F7F7">
                          <a:alpha val="100000"/>
                        </a:srgbClr>
                      </a:clrFrom>
                      <a:clrTo>
                        <a:srgbClr val="F7F7F7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142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2B" w:rsidRDefault="00F83A2B">
      <w:r>
        <w:separator/>
      </w:r>
    </w:p>
  </w:footnote>
  <w:footnote w:type="continuationSeparator" w:id="0">
    <w:p w:rsidR="00F83A2B" w:rsidRDefault="00F8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D3A" w:rsidRDefault="00D231B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-635</wp:posOffset>
          </wp:positionV>
          <wp:extent cx="1001395" cy="1190625"/>
          <wp:effectExtent l="0" t="0" r="8255" b="9525"/>
          <wp:wrapSquare wrapText="bothSides"/>
          <wp:docPr id="2" name="Imagen 2" descr="Escudo_de_Armas_Oficial_del_Estado_de_Hidal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scudo_de_Armas_Oficial_del_Estado_de_Hidal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39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706407"/>
    <w:multiLevelType w:val="singleLevel"/>
    <w:tmpl w:val="D0706407"/>
    <w:lvl w:ilvl="0">
      <w:start w:val="1"/>
      <w:numFmt w:val="lowerLetter"/>
      <w:suff w:val="space"/>
      <w:lvlText w:val="%1)"/>
      <w:lvlJc w:val="left"/>
      <w:pPr>
        <w:tabs>
          <w:tab w:val="left" w:pos="0"/>
        </w:tabs>
        <w:ind w:left="66" w:firstLine="0"/>
      </w:pPr>
      <w:rPr>
        <w:rFonts w:ascii="SimSun" w:eastAsia="SimSun" w:hAnsi="SimSun" w:cs="SimSu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33AF"/>
    <w:rsid w:val="00087C70"/>
    <w:rsid w:val="00393046"/>
    <w:rsid w:val="00424280"/>
    <w:rsid w:val="00471D48"/>
    <w:rsid w:val="004D2258"/>
    <w:rsid w:val="004F67AF"/>
    <w:rsid w:val="00646890"/>
    <w:rsid w:val="00681A49"/>
    <w:rsid w:val="0068455E"/>
    <w:rsid w:val="00861D05"/>
    <w:rsid w:val="008B6785"/>
    <w:rsid w:val="00930AEC"/>
    <w:rsid w:val="009658F7"/>
    <w:rsid w:val="00B80E39"/>
    <w:rsid w:val="00C92D3A"/>
    <w:rsid w:val="00CD56CC"/>
    <w:rsid w:val="00D231B8"/>
    <w:rsid w:val="00DF7A36"/>
    <w:rsid w:val="00EB4946"/>
    <w:rsid w:val="00EC71DE"/>
    <w:rsid w:val="00F64F10"/>
    <w:rsid w:val="00F83A2B"/>
    <w:rsid w:val="00FC6234"/>
    <w:rsid w:val="00FE6CB8"/>
    <w:rsid w:val="527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9B3FD1-48BE-40CC-B171-45BDAAB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uiPriority w:val="34"/>
    <w:qFormat/>
    <w:rsid w:val="0042428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s-MX"/>
    </w:rPr>
  </w:style>
  <w:style w:type="paragraph" w:styleId="Textodeglobo">
    <w:name w:val="Balloon Text"/>
    <w:basedOn w:val="Normal"/>
    <w:link w:val="TextodegloboCar"/>
    <w:rsid w:val="00087C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87C70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1291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i3-4</dc:creator>
  <cp:lastModifiedBy>Usuario 2</cp:lastModifiedBy>
  <cp:revision>12</cp:revision>
  <cp:lastPrinted>2022-02-15T22:02:00Z</cp:lastPrinted>
  <dcterms:created xsi:type="dcterms:W3CDTF">2022-02-04T15:01:00Z</dcterms:created>
  <dcterms:modified xsi:type="dcterms:W3CDTF">2022-04-07T18:41:00Z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2058-11.2.0.10463</vt:lpwstr>
  </property>
  <property fmtid="{D5CDD505-2E9C-101B-9397-08002B2CF9AE}" pid="3" name="ICV">
    <vt:lpwstr>1C714D74687D49D4B1A5DD04A10142F6</vt:lpwstr>
  </property>
</Properties>
</file>